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302" w:rsidRPr="00582BD1" w:rsidRDefault="00121302" w:rsidP="00121302">
      <w:pPr>
        <w:spacing w:before="100" w:beforeAutospacing="1" w:after="0" w:line="240" w:lineRule="auto"/>
        <w:jc w:val="center"/>
        <w:rPr>
          <w:rFonts w:ascii="Arial" w:eastAsia="Times New Roman" w:hAnsi="Arial" w:cs="Arial"/>
          <w:sz w:val="24"/>
          <w:szCs w:val="24"/>
          <w:lang w:eastAsia="es-AR"/>
        </w:rPr>
      </w:pPr>
      <w:r w:rsidRPr="00582BD1">
        <w:rPr>
          <w:rFonts w:ascii="Arial" w:eastAsia="Times New Roman" w:hAnsi="Arial" w:cs="Arial"/>
          <w:b/>
          <w:bCs/>
          <w:color w:val="333333"/>
          <w:sz w:val="24"/>
          <w:szCs w:val="24"/>
          <w:u w:val="single"/>
          <w:shd w:val="clear" w:color="auto" w:fill="FFFFFF"/>
          <w:lang w:eastAsia="es-AR"/>
        </w:rPr>
        <w:t>REUNIÓN DE LA COMISIÓN DE TRIBUNALES FISCALES DE LA AAEF</w:t>
      </w:r>
    </w:p>
    <w:p w:rsidR="00121302" w:rsidRPr="00582BD1" w:rsidRDefault="00121302" w:rsidP="00121302">
      <w:pPr>
        <w:spacing w:before="100" w:beforeAutospacing="1" w:after="0" w:line="240" w:lineRule="auto"/>
        <w:jc w:val="center"/>
        <w:rPr>
          <w:rFonts w:ascii="Arial" w:eastAsia="Times New Roman" w:hAnsi="Arial" w:cs="Arial"/>
          <w:sz w:val="24"/>
          <w:szCs w:val="24"/>
          <w:lang w:eastAsia="es-AR"/>
        </w:rPr>
      </w:pPr>
      <w:r w:rsidRPr="00582BD1">
        <w:rPr>
          <w:rFonts w:ascii="Arial" w:eastAsia="Times New Roman" w:hAnsi="Arial" w:cs="Arial"/>
          <w:b/>
          <w:bCs/>
          <w:i/>
          <w:iCs/>
          <w:color w:val="333333"/>
          <w:sz w:val="24"/>
          <w:szCs w:val="24"/>
          <w:shd w:val="clear" w:color="auto" w:fill="FFFFFF"/>
          <w:lang w:eastAsia="es-AR"/>
        </w:rPr>
        <w:t>1</w:t>
      </w:r>
      <w:r w:rsidR="00CD4093" w:rsidRPr="00582BD1">
        <w:rPr>
          <w:rFonts w:ascii="Arial" w:eastAsia="Times New Roman" w:hAnsi="Arial" w:cs="Arial"/>
          <w:b/>
          <w:bCs/>
          <w:i/>
          <w:iCs/>
          <w:color w:val="333333"/>
          <w:sz w:val="24"/>
          <w:szCs w:val="24"/>
          <w:shd w:val="clear" w:color="auto" w:fill="FFFFFF"/>
          <w:lang w:eastAsia="es-AR"/>
        </w:rPr>
        <w:t>6/11</w:t>
      </w:r>
      <w:r w:rsidRPr="00582BD1">
        <w:rPr>
          <w:rFonts w:ascii="Arial" w:eastAsia="Times New Roman" w:hAnsi="Arial" w:cs="Arial"/>
          <w:b/>
          <w:bCs/>
          <w:i/>
          <w:iCs/>
          <w:color w:val="333333"/>
          <w:sz w:val="24"/>
          <w:szCs w:val="24"/>
          <w:shd w:val="clear" w:color="auto" w:fill="FFFFFF"/>
          <w:lang w:eastAsia="es-AR"/>
        </w:rPr>
        <w:t xml:space="preserve">/2022 13 </w:t>
      </w:r>
      <w:proofErr w:type="spellStart"/>
      <w:r w:rsidRPr="00582BD1">
        <w:rPr>
          <w:rFonts w:ascii="Arial" w:eastAsia="Times New Roman" w:hAnsi="Arial" w:cs="Arial"/>
          <w:b/>
          <w:bCs/>
          <w:i/>
          <w:iCs/>
          <w:color w:val="333333"/>
          <w:sz w:val="24"/>
          <w:szCs w:val="24"/>
          <w:shd w:val="clear" w:color="auto" w:fill="FFFFFF"/>
          <w:lang w:eastAsia="es-AR"/>
        </w:rPr>
        <w:t>hs</w:t>
      </w:r>
      <w:proofErr w:type="spellEnd"/>
      <w:r w:rsidRPr="00582BD1">
        <w:rPr>
          <w:rFonts w:ascii="Arial" w:eastAsia="Times New Roman" w:hAnsi="Arial" w:cs="Arial"/>
          <w:b/>
          <w:bCs/>
          <w:i/>
          <w:iCs/>
          <w:color w:val="333333"/>
          <w:sz w:val="24"/>
          <w:szCs w:val="24"/>
          <w:shd w:val="clear" w:color="auto" w:fill="FFFFFF"/>
          <w:lang w:eastAsia="es-AR"/>
        </w:rPr>
        <w:t>.</w:t>
      </w:r>
    </w:p>
    <w:p w:rsidR="00121302" w:rsidRPr="00582BD1" w:rsidRDefault="00121302" w:rsidP="00121302">
      <w:pPr>
        <w:spacing w:before="100" w:beforeAutospacing="1" w:after="0" w:line="240" w:lineRule="auto"/>
        <w:rPr>
          <w:rFonts w:ascii="Arial" w:eastAsia="Times New Roman" w:hAnsi="Arial" w:cs="Arial"/>
          <w:sz w:val="24"/>
          <w:szCs w:val="24"/>
          <w:lang w:eastAsia="es-AR"/>
        </w:rPr>
      </w:pPr>
    </w:p>
    <w:p w:rsidR="00121302" w:rsidRPr="00582BD1" w:rsidRDefault="00121302" w:rsidP="00121302">
      <w:pPr>
        <w:spacing w:before="100" w:beforeAutospacing="1" w:after="0" w:line="240" w:lineRule="auto"/>
        <w:rPr>
          <w:rFonts w:ascii="Arial" w:eastAsia="Times New Roman" w:hAnsi="Arial" w:cs="Arial"/>
          <w:sz w:val="24"/>
          <w:szCs w:val="24"/>
          <w:lang w:eastAsia="es-AR"/>
        </w:rPr>
      </w:pPr>
      <w:r w:rsidRPr="00582BD1">
        <w:rPr>
          <w:rFonts w:ascii="Arial" w:eastAsia="Times New Roman" w:hAnsi="Arial" w:cs="Arial"/>
          <w:b/>
          <w:bCs/>
          <w:color w:val="333333"/>
          <w:sz w:val="24"/>
          <w:szCs w:val="24"/>
          <w:shd w:val="clear" w:color="auto" w:fill="FFFFFF"/>
          <w:lang w:eastAsia="es-AR"/>
        </w:rPr>
        <w:t xml:space="preserve">COORDINADORES: Dres. Pablo </w:t>
      </w:r>
      <w:proofErr w:type="spellStart"/>
      <w:r w:rsidRPr="00582BD1">
        <w:rPr>
          <w:rFonts w:ascii="Arial" w:eastAsia="Times New Roman" w:hAnsi="Arial" w:cs="Arial"/>
          <w:b/>
          <w:bCs/>
          <w:color w:val="333333"/>
          <w:sz w:val="24"/>
          <w:szCs w:val="24"/>
          <w:shd w:val="clear" w:color="auto" w:fill="FFFFFF"/>
          <w:lang w:eastAsia="es-AR"/>
        </w:rPr>
        <w:t>Garbarino</w:t>
      </w:r>
      <w:proofErr w:type="spellEnd"/>
      <w:r w:rsidRPr="00582BD1">
        <w:rPr>
          <w:rFonts w:ascii="Arial" w:eastAsia="Times New Roman" w:hAnsi="Arial" w:cs="Arial"/>
          <w:b/>
          <w:bCs/>
          <w:color w:val="333333"/>
          <w:sz w:val="24"/>
          <w:szCs w:val="24"/>
          <w:shd w:val="clear" w:color="auto" w:fill="FFFFFF"/>
          <w:lang w:eastAsia="es-AR"/>
        </w:rPr>
        <w:t xml:space="preserve"> y Juliana </w:t>
      </w:r>
      <w:proofErr w:type="spellStart"/>
      <w:r w:rsidRPr="00582BD1">
        <w:rPr>
          <w:rFonts w:ascii="Arial" w:eastAsia="Times New Roman" w:hAnsi="Arial" w:cs="Arial"/>
          <w:b/>
          <w:bCs/>
          <w:color w:val="333333"/>
          <w:sz w:val="24"/>
          <w:szCs w:val="24"/>
          <w:shd w:val="clear" w:color="auto" w:fill="FFFFFF"/>
          <w:lang w:eastAsia="es-AR"/>
        </w:rPr>
        <w:t>Paccini</w:t>
      </w:r>
      <w:proofErr w:type="spellEnd"/>
    </w:p>
    <w:p w:rsidR="00121302" w:rsidRPr="00582BD1" w:rsidRDefault="00121302" w:rsidP="00121302">
      <w:pPr>
        <w:spacing w:before="100" w:beforeAutospacing="1" w:after="0" w:line="240" w:lineRule="auto"/>
        <w:rPr>
          <w:rFonts w:ascii="Arial" w:eastAsia="Times New Roman" w:hAnsi="Arial" w:cs="Arial"/>
          <w:sz w:val="24"/>
          <w:szCs w:val="24"/>
          <w:lang w:eastAsia="es-AR"/>
        </w:rPr>
      </w:pPr>
      <w:r w:rsidRPr="00582BD1">
        <w:rPr>
          <w:rFonts w:ascii="Arial" w:eastAsia="Times New Roman" w:hAnsi="Arial" w:cs="Arial"/>
          <w:b/>
          <w:bCs/>
          <w:color w:val="333333"/>
          <w:sz w:val="24"/>
          <w:szCs w:val="24"/>
          <w:shd w:val="clear" w:color="auto" w:fill="FFFFFF"/>
          <w:lang w:eastAsia="es-AR"/>
        </w:rPr>
        <w:t xml:space="preserve">Temario </w:t>
      </w:r>
      <w:r w:rsidR="00CD4093" w:rsidRPr="00582BD1">
        <w:rPr>
          <w:rFonts w:ascii="Arial" w:eastAsia="Times New Roman" w:hAnsi="Arial" w:cs="Arial"/>
          <w:b/>
          <w:bCs/>
          <w:color w:val="333333"/>
          <w:sz w:val="24"/>
          <w:szCs w:val="24"/>
          <w:shd w:val="clear" w:color="auto" w:fill="FFFFFF"/>
          <w:lang w:eastAsia="es-AR"/>
        </w:rPr>
        <w:t xml:space="preserve">NOVIEMBRE </w:t>
      </w:r>
      <w:r w:rsidRPr="00582BD1">
        <w:rPr>
          <w:rFonts w:ascii="Arial" w:eastAsia="Times New Roman" w:hAnsi="Arial" w:cs="Arial"/>
          <w:b/>
          <w:bCs/>
          <w:color w:val="333333"/>
          <w:sz w:val="24"/>
          <w:szCs w:val="24"/>
          <w:shd w:val="clear" w:color="auto" w:fill="FFFFFF"/>
          <w:lang w:eastAsia="es-AR"/>
        </w:rPr>
        <w:t>2022:</w:t>
      </w:r>
      <w:r w:rsidRPr="00582BD1">
        <w:rPr>
          <w:rFonts w:ascii="Arial" w:eastAsia="Times New Roman" w:hAnsi="Arial" w:cs="Arial"/>
          <w:color w:val="333333"/>
          <w:sz w:val="24"/>
          <w:szCs w:val="24"/>
          <w:shd w:val="clear" w:color="auto" w:fill="FFFFFF"/>
          <w:lang w:eastAsia="es-AR"/>
        </w:rPr>
        <w:br/>
      </w:r>
      <w:r w:rsidRPr="00582BD1">
        <w:rPr>
          <w:rFonts w:ascii="Arial" w:eastAsia="Times New Roman" w:hAnsi="Arial" w:cs="Arial"/>
          <w:b/>
          <w:bCs/>
          <w:color w:val="333333"/>
          <w:sz w:val="24"/>
          <w:szCs w:val="24"/>
          <w:shd w:val="clear" w:color="auto" w:fill="FFFFFF"/>
          <w:lang w:eastAsia="es-AR"/>
        </w:rPr>
        <w:t> </w:t>
      </w:r>
    </w:p>
    <w:p w:rsidR="00CD4093" w:rsidRPr="00582BD1" w:rsidRDefault="00121302" w:rsidP="00CD4093">
      <w:pPr>
        <w:spacing w:before="100" w:beforeAutospacing="1" w:after="0" w:line="240" w:lineRule="auto"/>
        <w:jc w:val="both"/>
        <w:rPr>
          <w:rFonts w:ascii="Arial" w:hAnsi="Arial" w:cs="Arial"/>
          <w:b/>
          <w:color w:val="222222"/>
          <w:sz w:val="24"/>
          <w:szCs w:val="24"/>
          <w:shd w:val="clear" w:color="auto" w:fill="FFFFFF"/>
        </w:rPr>
      </w:pPr>
      <w:r w:rsidRPr="00582BD1">
        <w:rPr>
          <w:rFonts w:ascii="Arial" w:eastAsia="Times New Roman" w:hAnsi="Arial" w:cs="Arial"/>
          <w:b/>
          <w:bCs/>
          <w:i/>
          <w:iCs/>
          <w:color w:val="333333"/>
          <w:sz w:val="24"/>
          <w:szCs w:val="24"/>
          <w:u w:val="single"/>
          <w:shd w:val="clear" w:color="auto" w:fill="FFFFFF"/>
          <w:lang w:eastAsia="es-AR"/>
        </w:rPr>
        <w:t>PANEL I</w:t>
      </w:r>
      <w:r w:rsidRPr="00582BD1">
        <w:rPr>
          <w:rFonts w:ascii="Arial" w:eastAsia="Times New Roman" w:hAnsi="Arial" w:cs="Arial"/>
          <w:b/>
          <w:bCs/>
          <w:color w:val="333333"/>
          <w:sz w:val="24"/>
          <w:szCs w:val="24"/>
          <w:u w:val="single"/>
          <w:shd w:val="clear" w:color="auto" w:fill="FFFFFF"/>
          <w:lang w:eastAsia="es-AR"/>
        </w:rPr>
        <w:t>:</w:t>
      </w:r>
      <w:r w:rsidRPr="00582BD1">
        <w:rPr>
          <w:rFonts w:ascii="Arial" w:eastAsia="Times New Roman" w:hAnsi="Arial" w:cs="Arial"/>
          <w:b/>
          <w:bCs/>
          <w:color w:val="333333"/>
          <w:sz w:val="24"/>
          <w:szCs w:val="24"/>
          <w:shd w:val="clear" w:color="auto" w:fill="FFFFFF"/>
          <w:lang w:eastAsia="es-AR"/>
        </w:rPr>
        <w:t xml:space="preserve"> CONFERENCIA: </w:t>
      </w:r>
      <w:r w:rsidR="00CD4093" w:rsidRPr="00582BD1">
        <w:rPr>
          <w:rFonts w:ascii="Arial" w:hAnsi="Arial" w:cs="Arial"/>
          <w:b/>
          <w:color w:val="222222"/>
          <w:sz w:val="24"/>
          <w:szCs w:val="24"/>
          <w:shd w:val="clear" w:color="auto" w:fill="FFFFFF"/>
        </w:rPr>
        <w:t>"La sub y sobre facturación: nuevas consideraciones del Tribunal Fiscal respecto de la carga de la prueba”</w:t>
      </w:r>
    </w:p>
    <w:p w:rsidR="00121302" w:rsidRPr="00582BD1" w:rsidRDefault="00CD4093" w:rsidP="00CD4093">
      <w:pPr>
        <w:spacing w:before="100" w:beforeAutospacing="1" w:after="0" w:line="240" w:lineRule="auto"/>
        <w:jc w:val="both"/>
        <w:rPr>
          <w:rFonts w:ascii="Arial" w:eastAsia="Times New Roman" w:hAnsi="Arial" w:cs="Arial"/>
          <w:sz w:val="24"/>
          <w:szCs w:val="24"/>
          <w:lang w:eastAsia="es-AR"/>
        </w:rPr>
      </w:pPr>
      <w:r w:rsidRPr="00582BD1">
        <w:rPr>
          <w:rFonts w:ascii="Arial" w:eastAsia="Times New Roman" w:hAnsi="Arial" w:cs="Arial"/>
          <w:b/>
          <w:bCs/>
          <w:color w:val="333333"/>
          <w:sz w:val="24"/>
          <w:szCs w:val="24"/>
          <w:shd w:val="clear" w:color="auto" w:fill="FFFFFF"/>
          <w:lang w:eastAsia="es-AR"/>
        </w:rPr>
        <w:t>INVITADO</w:t>
      </w:r>
      <w:r w:rsidR="00121302" w:rsidRPr="00582BD1">
        <w:rPr>
          <w:rFonts w:ascii="Arial" w:eastAsia="Times New Roman" w:hAnsi="Arial" w:cs="Arial"/>
          <w:color w:val="333333"/>
          <w:sz w:val="24"/>
          <w:szCs w:val="24"/>
          <w:shd w:val="clear" w:color="auto" w:fill="FFFFFF"/>
          <w:lang w:eastAsia="es-AR"/>
        </w:rPr>
        <w:t xml:space="preserve">: </w:t>
      </w:r>
      <w:proofErr w:type="spellStart"/>
      <w:r w:rsidRPr="00582BD1">
        <w:rPr>
          <w:rFonts w:ascii="Arial" w:hAnsi="Arial" w:cs="Arial"/>
          <w:color w:val="222222"/>
          <w:sz w:val="24"/>
          <w:szCs w:val="24"/>
          <w:shd w:val="clear" w:color="auto" w:fill="FFFFFF"/>
        </w:rPr>
        <w:t>Abog</w:t>
      </w:r>
      <w:proofErr w:type="spellEnd"/>
      <w:r w:rsidRPr="00582BD1">
        <w:rPr>
          <w:rFonts w:ascii="Arial" w:hAnsi="Arial" w:cs="Arial"/>
          <w:color w:val="222222"/>
          <w:sz w:val="24"/>
          <w:szCs w:val="24"/>
          <w:shd w:val="clear" w:color="auto" w:fill="FFFFFF"/>
        </w:rPr>
        <w:t>. Guillermo M</w:t>
      </w:r>
      <w:r w:rsidR="00582BD1">
        <w:rPr>
          <w:rFonts w:ascii="Arial" w:hAnsi="Arial" w:cs="Arial"/>
          <w:color w:val="222222"/>
          <w:sz w:val="24"/>
          <w:szCs w:val="24"/>
          <w:shd w:val="clear" w:color="auto" w:fill="FFFFFF"/>
        </w:rPr>
        <w:t>ICHEL</w:t>
      </w:r>
      <w:r w:rsidRPr="00582BD1">
        <w:rPr>
          <w:rFonts w:ascii="Arial" w:hAnsi="Arial" w:cs="Arial"/>
          <w:color w:val="222222"/>
          <w:sz w:val="24"/>
          <w:szCs w:val="24"/>
          <w:shd w:val="clear" w:color="auto" w:fill="FFFFFF"/>
        </w:rPr>
        <w:t xml:space="preserve"> </w:t>
      </w:r>
      <w:r w:rsidR="00582BD1">
        <w:rPr>
          <w:rFonts w:ascii="Arial" w:hAnsi="Arial" w:cs="Arial"/>
          <w:color w:val="222222"/>
          <w:sz w:val="24"/>
          <w:szCs w:val="24"/>
          <w:shd w:val="clear" w:color="auto" w:fill="FFFFFF"/>
        </w:rPr>
        <w:t>(Director General de Aduanas)</w:t>
      </w:r>
    </w:p>
    <w:p w:rsidR="00121302" w:rsidRPr="00582BD1" w:rsidRDefault="00121302" w:rsidP="00121302">
      <w:pPr>
        <w:spacing w:before="100" w:beforeAutospacing="1" w:after="0" w:line="240" w:lineRule="auto"/>
        <w:rPr>
          <w:rFonts w:ascii="Arial" w:eastAsia="Times New Roman" w:hAnsi="Arial" w:cs="Arial"/>
          <w:sz w:val="24"/>
          <w:szCs w:val="24"/>
          <w:lang w:eastAsia="es-AR"/>
        </w:rPr>
      </w:pPr>
      <w:r w:rsidRPr="00582BD1">
        <w:rPr>
          <w:rFonts w:ascii="Arial" w:eastAsia="Times New Roman" w:hAnsi="Arial" w:cs="Arial"/>
          <w:b/>
          <w:bCs/>
          <w:color w:val="333333"/>
          <w:sz w:val="24"/>
          <w:szCs w:val="24"/>
          <w:shd w:val="clear" w:color="auto" w:fill="FFFFFF"/>
          <w:lang w:eastAsia="es-AR"/>
        </w:rPr>
        <w:t xml:space="preserve">MODERADOR: </w:t>
      </w:r>
      <w:r w:rsidRPr="00582BD1">
        <w:rPr>
          <w:rFonts w:ascii="Arial" w:eastAsia="Times New Roman" w:hAnsi="Arial" w:cs="Arial"/>
          <w:color w:val="333333"/>
          <w:sz w:val="24"/>
          <w:szCs w:val="24"/>
          <w:shd w:val="clear" w:color="auto" w:fill="FFFFFF"/>
          <w:lang w:eastAsia="es-AR"/>
        </w:rPr>
        <w:t>DR. PABLO GARBARINO</w:t>
      </w:r>
    </w:p>
    <w:p w:rsidR="00121302" w:rsidRPr="00582BD1" w:rsidRDefault="00121302" w:rsidP="00121302">
      <w:pPr>
        <w:spacing w:before="100" w:beforeAutospacing="1" w:after="0" w:line="240" w:lineRule="auto"/>
        <w:rPr>
          <w:rFonts w:ascii="Arial" w:eastAsia="Times New Roman" w:hAnsi="Arial" w:cs="Arial"/>
          <w:sz w:val="24"/>
          <w:szCs w:val="24"/>
          <w:lang w:eastAsia="es-AR"/>
        </w:rPr>
      </w:pPr>
      <w:r w:rsidRPr="00582BD1">
        <w:rPr>
          <w:rFonts w:ascii="Arial" w:eastAsia="Times New Roman" w:hAnsi="Arial" w:cs="Arial"/>
          <w:b/>
          <w:bCs/>
          <w:i/>
          <w:iCs/>
          <w:color w:val="333333"/>
          <w:sz w:val="24"/>
          <w:szCs w:val="24"/>
          <w:u w:val="single"/>
          <w:shd w:val="clear" w:color="auto" w:fill="FFFFFF"/>
          <w:lang w:eastAsia="es-AR"/>
        </w:rPr>
        <w:t>PANEL II</w:t>
      </w:r>
      <w:r w:rsidRPr="00582BD1">
        <w:rPr>
          <w:rFonts w:ascii="Arial" w:eastAsia="Times New Roman" w:hAnsi="Arial" w:cs="Arial"/>
          <w:b/>
          <w:bCs/>
          <w:i/>
          <w:iCs/>
          <w:color w:val="333333"/>
          <w:sz w:val="24"/>
          <w:szCs w:val="24"/>
          <w:shd w:val="clear" w:color="auto" w:fill="FFFFFF"/>
          <w:lang w:eastAsia="es-AR"/>
        </w:rPr>
        <w:t>:</w:t>
      </w:r>
      <w:r w:rsidRPr="00582BD1">
        <w:rPr>
          <w:rFonts w:ascii="Arial" w:eastAsia="Times New Roman" w:hAnsi="Arial" w:cs="Arial"/>
          <w:b/>
          <w:bCs/>
          <w:color w:val="333333"/>
          <w:sz w:val="24"/>
          <w:szCs w:val="24"/>
          <w:shd w:val="clear" w:color="auto" w:fill="FFFFFF"/>
          <w:lang w:eastAsia="es-AR"/>
        </w:rPr>
        <w:t xml:space="preserve"> JURISPRUDENCIA. </w:t>
      </w:r>
    </w:p>
    <w:p w:rsidR="00121302" w:rsidRPr="00582BD1" w:rsidRDefault="00121302" w:rsidP="00121302">
      <w:pPr>
        <w:spacing w:before="100" w:beforeAutospacing="1" w:after="0" w:line="240" w:lineRule="auto"/>
        <w:rPr>
          <w:rFonts w:ascii="Arial" w:eastAsia="Times New Roman" w:hAnsi="Arial" w:cs="Arial"/>
          <w:sz w:val="24"/>
          <w:szCs w:val="24"/>
          <w:lang w:eastAsia="es-AR"/>
        </w:rPr>
      </w:pPr>
      <w:r w:rsidRPr="00582BD1">
        <w:rPr>
          <w:rFonts w:ascii="Arial" w:eastAsia="Times New Roman" w:hAnsi="Arial" w:cs="Arial"/>
          <w:color w:val="333333"/>
          <w:sz w:val="24"/>
          <w:szCs w:val="24"/>
          <w:shd w:val="clear" w:color="auto" w:fill="FFFFFF"/>
          <w:lang w:eastAsia="es-AR"/>
        </w:rPr>
        <w:t>A continuación, se tratarán los aspectos procedimentales y jurisprudenciales relevantes y actualizados de todos los Tribunales intervinientes, divididos en cuatro secciones:</w:t>
      </w:r>
    </w:p>
    <w:p w:rsidR="00121302" w:rsidRPr="00582BD1" w:rsidRDefault="00121302" w:rsidP="00121302">
      <w:pPr>
        <w:spacing w:before="100" w:beforeAutospacing="1" w:after="0" w:line="240" w:lineRule="auto"/>
        <w:rPr>
          <w:rFonts w:ascii="Arial" w:eastAsia="Times New Roman" w:hAnsi="Arial" w:cs="Arial"/>
          <w:b/>
          <w:sz w:val="24"/>
          <w:szCs w:val="24"/>
          <w:lang w:eastAsia="es-AR"/>
        </w:rPr>
      </w:pPr>
      <w:r w:rsidRPr="00582BD1">
        <w:rPr>
          <w:rFonts w:ascii="Arial" w:eastAsia="Times New Roman" w:hAnsi="Arial" w:cs="Arial"/>
          <w:b/>
          <w:bCs/>
          <w:color w:val="333333"/>
          <w:sz w:val="24"/>
          <w:szCs w:val="24"/>
          <w:shd w:val="clear" w:color="auto" w:fill="FFFFFF"/>
          <w:lang w:eastAsia="es-AR"/>
        </w:rPr>
        <w:t>MODERADORA:</w:t>
      </w:r>
      <w:r w:rsidRPr="00582BD1">
        <w:rPr>
          <w:rFonts w:ascii="Arial" w:eastAsia="Times New Roman" w:hAnsi="Arial" w:cs="Arial"/>
          <w:color w:val="333333"/>
          <w:sz w:val="24"/>
          <w:szCs w:val="24"/>
          <w:shd w:val="clear" w:color="auto" w:fill="FFFFFF"/>
          <w:lang w:eastAsia="es-AR"/>
        </w:rPr>
        <w:t xml:space="preserve"> </w:t>
      </w:r>
      <w:r w:rsidRPr="00582BD1">
        <w:rPr>
          <w:rFonts w:ascii="Arial" w:eastAsia="Times New Roman" w:hAnsi="Arial" w:cs="Arial"/>
          <w:b/>
          <w:color w:val="333333"/>
          <w:sz w:val="24"/>
          <w:szCs w:val="24"/>
          <w:shd w:val="clear" w:color="auto" w:fill="FFFFFF"/>
          <w:lang w:eastAsia="es-AR"/>
        </w:rPr>
        <w:t xml:space="preserve">DRA. JULIANA </w:t>
      </w:r>
      <w:bookmarkStart w:id="0" w:name="_GoBack"/>
      <w:bookmarkEnd w:id="0"/>
      <w:r w:rsidRPr="00582BD1">
        <w:rPr>
          <w:rFonts w:ascii="Arial" w:eastAsia="Times New Roman" w:hAnsi="Arial" w:cs="Arial"/>
          <w:b/>
          <w:color w:val="333333"/>
          <w:sz w:val="24"/>
          <w:szCs w:val="24"/>
          <w:shd w:val="clear" w:color="auto" w:fill="FFFFFF"/>
          <w:lang w:eastAsia="es-AR"/>
        </w:rPr>
        <w:t>PACCINI </w:t>
      </w:r>
    </w:p>
    <w:p w:rsidR="00472604" w:rsidRPr="00582BD1" w:rsidRDefault="00121302" w:rsidP="00472604">
      <w:pPr>
        <w:spacing w:before="278" w:after="0" w:line="240" w:lineRule="auto"/>
        <w:jc w:val="center"/>
        <w:rPr>
          <w:rFonts w:ascii="Arial" w:eastAsia="Times New Roman" w:hAnsi="Arial" w:cs="Arial"/>
          <w:sz w:val="24"/>
          <w:szCs w:val="24"/>
          <w:lang w:eastAsia="es-AR"/>
        </w:rPr>
      </w:pPr>
      <w:r w:rsidRPr="00582BD1">
        <w:rPr>
          <w:rFonts w:ascii="Arial" w:eastAsia="Times New Roman" w:hAnsi="Arial" w:cs="Arial"/>
          <w:color w:val="333333"/>
          <w:sz w:val="24"/>
          <w:szCs w:val="24"/>
          <w:shd w:val="clear" w:color="auto" w:fill="FFFFFF"/>
          <w:lang w:eastAsia="es-AR"/>
        </w:rPr>
        <w:t>             </w:t>
      </w:r>
      <w:r w:rsidR="00472604" w:rsidRPr="00582BD1">
        <w:rPr>
          <w:rFonts w:ascii="Arial" w:eastAsia="Times New Roman" w:hAnsi="Arial" w:cs="Arial"/>
          <w:b/>
          <w:bCs/>
          <w:color w:val="333333"/>
          <w:sz w:val="24"/>
          <w:szCs w:val="24"/>
          <w:shd w:val="clear" w:color="auto" w:fill="FFFFFF"/>
          <w:lang w:eastAsia="es-AR"/>
        </w:rPr>
        <w:t>TRIBUNAL FISCAL DE LA NACIÓN (COMPETENCIA IMPOSITIVA)</w:t>
      </w:r>
    </w:p>
    <w:p w:rsidR="00472604" w:rsidRPr="00582BD1" w:rsidRDefault="00472604" w:rsidP="00472604">
      <w:pPr>
        <w:spacing w:before="278" w:after="0" w:line="240" w:lineRule="auto"/>
        <w:rPr>
          <w:rFonts w:ascii="Arial" w:eastAsia="Times New Roman" w:hAnsi="Arial" w:cs="Arial"/>
          <w:sz w:val="24"/>
          <w:szCs w:val="24"/>
          <w:lang w:eastAsia="es-AR"/>
        </w:rPr>
      </w:pPr>
      <w:r w:rsidRPr="00582BD1">
        <w:rPr>
          <w:rFonts w:ascii="Arial" w:eastAsia="Times New Roman" w:hAnsi="Arial" w:cs="Arial"/>
          <w:color w:val="333333"/>
          <w:sz w:val="24"/>
          <w:szCs w:val="24"/>
          <w:shd w:val="clear" w:color="auto" w:fill="FFFFFF"/>
          <w:lang w:eastAsia="es-AR"/>
        </w:rPr>
        <w:t>                                       </w:t>
      </w:r>
      <w:r w:rsidRPr="00582BD1">
        <w:rPr>
          <w:rFonts w:ascii="Arial" w:eastAsia="Times New Roman" w:hAnsi="Arial" w:cs="Arial"/>
          <w:b/>
          <w:bCs/>
          <w:color w:val="333333"/>
          <w:sz w:val="24"/>
          <w:szCs w:val="24"/>
          <w:shd w:val="clear" w:color="auto" w:fill="FFFFFF"/>
          <w:lang w:eastAsia="es-AR"/>
        </w:rPr>
        <w:t xml:space="preserve">Relatora: Dra. Silvina </w:t>
      </w:r>
      <w:proofErr w:type="spellStart"/>
      <w:r w:rsidRPr="00582BD1">
        <w:rPr>
          <w:rFonts w:ascii="Arial" w:eastAsia="Times New Roman" w:hAnsi="Arial" w:cs="Arial"/>
          <w:b/>
          <w:bCs/>
          <w:color w:val="333333"/>
          <w:sz w:val="24"/>
          <w:szCs w:val="24"/>
          <w:shd w:val="clear" w:color="auto" w:fill="FFFFFF"/>
          <w:lang w:eastAsia="es-AR"/>
        </w:rPr>
        <w:t>Coronello</w:t>
      </w:r>
      <w:proofErr w:type="spellEnd"/>
      <w:r w:rsidRPr="00582BD1">
        <w:rPr>
          <w:rFonts w:ascii="Arial" w:eastAsia="Times New Roman" w:hAnsi="Arial" w:cs="Arial"/>
          <w:b/>
          <w:bCs/>
          <w:color w:val="333333"/>
          <w:sz w:val="24"/>
          <w:szCs w:val="24"/>
          <w:shd w:val="clear" w:color="auto" w:fill="FFFFFF"/>
          <w:lang w:eastAsia="es-AR"/>
        </w:rPr>
        <w:t> </w:t>
      </w:r>
    </w:p>
    <w:p w:rsidR="00CD4093" w:rsidRPr="00582BD1" w:rsidRDefault="00CD4093" w:rsidP="00CD4093">
      <w:pPr>
        <w:shd w:val="clear" w:color="auto" w:fill="FFFFFF"/>
        <w:rPr>
          <w:rFonts w:ascii="Arial" w:hAnsi="Arial" w:cs="Arial"/>
          <w:b/>
          <w:color w:val="222222"/>
          <w:sz w:val="24"/>
          <w:szCs w:val="24"/>
          <w:u w:val="single"/>
          <w:shd w:val="clear" w:color="auto" w:fill="FFFFFF"/>
        </w:rPr>
      </w:pPr>
    </w:p>
    <w:p w:rsidR="00CD4093" w:rsidRPr="00582BD1" w:rsidRDefault="00D75064" w:rsidP="00CD4093">
      <w:pPr>
        <w:shd w:val="clear" w:color="auto" w:fill="FFFFFF"/>
        <w:rPr>
          <w:rFonts w:ascii="Arial" w:eastAsia="Times New Roman" w:hAnsi="Arial" w:cs="Arial"/>
          <w:b/>
          <w:color w:val="222222"/>
          <w:sz w:val="24"/>
          <w:szCs w:val="24"/>
          <w:lang w:eastAsia="es-AR"/>
        </w:rPr>
      </w:pPr>
      <w:r w:rsidRPr="00582BD1">
        <w:rPr>
          <w:rFonts w:ascii="Arial" w:hAnsi="Arial" w:cs="Arial"/>
          <w:b/>
          <w:color w:val="222222"/>
          <w:sz w:val="24"/>
          <w:szCs w:val="24"/>
          <w:u w:val="single"/>
          <w:shd w:val="clear" w:color="auto" w:fill="FFFFFF"/>
        </w:rPr>
        <w:t>AUTOS</w:t>
      </w:r>
      <w:r w:rsidRPr="00582BD1">
        <w:rPr>
          <w:rFonts w:ascii="Arial" w:hAnsi="Arial" w:cs="Arial"/>
          <w:b/>
          <w:color w:val="222222"/>
          <w:sz w:val="24"/>
          <w:szCs w:val="24"/>
          <w:shd w:val="clear" w:color="auto" w:fill="FFFFFF"/>
        </w:rPr>
        <w:t xml:space="preserve">: </w:t>
      </w:r>
      <w:r w:rsidR="00CD4093" w:rsidRPr="00582BD1">
        <w:rPr>
          <w:rFonts w:ascii="Arial" w:eastAsia="Times New Roman" w:hAnsi="Arial" w:cs="Arial"/>
          <w:b/>
          <w:color w:val="222222"/>
          <w:sz w:val="24"/>
          <w:szCs w:val="24"/>
          <w:lang w:eastAsia="es-AR"/>
        </w:rPr>
        <w:t>"MONTE DE PINO S.A." TFN</w:t>
      </w:r>
      <w:r w:rsidR="00582BD1">
        <w:rPr>
          <w:rFonts w:ascii="Arial" w:eastAsia="Times New Roman" w:hAnsi="Arial" w:cs="Arial"/>
          <w:b/>
          <w:color w:val="222222"/>
          <w:sz w:val="24"/>
          <w:szCs w:val="24"/>
          <w:lang w:eastAsia="es-AR"/>
        </w:rPr>
        <w:t>, Sala B, 18/10/22</w:t>
      </w:r>
      <w:r w:rsidR="00CD4093" w:rsidRPr="00582BD1">
        <w:rPr>
          <w:rFonts w:ascii="Arial" w:eastAsia="Times New Roman" w:hAnsi="Arial" w:cs="Arial"/>
          <w:b/>
          <w:color w:val="222222"/>
          <w:sz w:val="24"/>
          <w:szCs w:val="24"/>
          <w:lang w:eastAsia="es-AR"/>
        </w:rPr>
        <w:t>.</w:t>
      </w:r>
    </w:p>
    <w:p w:rsidR="00CD4093" w:rsidRPr="00582BD1" w:rsidRDefault="00CD4093" w:rsidP="00CD4093">
      <w:pPr>
        <w:shd w:val="clear" w:color="auto" w:fill="FFFFFF"/>
        <w:spacing w:after="0" w:line="240" w:lineRule="auto"/>
        <w:jc w:val="both"/>
        <w:rPr>
          <w:rFonts w:ascii="Arial" w:eastAsia="Times New Roman" w:hAnsi="Arial" w:cs="Arial"/>
          <w:color w:val="222222"/>
          <w:sz w:val="24"/>
          <w:szCs w:val="24"/>
          <w:lang w:eastAsia="es-AR"/>
        </w:rPr>
      </w:pPr>
      <w:r w:rsidRPr="00582BD1">
        <w:rPr>
          <w:rFonts w:ascii="Arial" w:eastAsia="Times New Roman" w:hAnsi="Arial" w:cs="Arial"/>
          <w:color w:val="222222"/>
          <w:sz w:val="24"/>
          <w:szCs w:val="24"/>
          <w:lang w:eastAsia="es-AR"/>
        </w:rPr>
        <w:t>Determinación de oficio Impuesto a las Ganancias. Disposición de fondos en favor de terceros.  Extensión de responsabilidad. Reserva de formular la denuncia penal. Incremento de la condición objetiva de punibilidad. Ausencia de formulación de la denuncia penal e instrucción del sumario para la aplicación de la multa por defraudación. Nulidad absoluta e insanable.</w:t>
      </w:r>
    </w:p>
    <w:p w:rsidR="00472604" w:rsidRPr="00582BD1" w:rsidRDefault="00472604" w:rsidP="00CD4093">
      <w:pPr>
        <w:spacing w:before="278" w:after="0" w:line="240" w:lineRule="auto"/>
        <w:jc w:val="both"/>
        <w:rPr>
          <w:rFonts w:ascii="Arial" w:eastAsia="Times New Roman" w:hAnsi="Arial" w:cs="Arial"/>
          <w:sz w:val="24"/>
          <w:szCs w:val="24"/>
          <w:lang w:eastAsia="es-AR"/>
        </w:rPr>
      </w:pPr>
      <w:r w:rsidRPr="00582BD1">
        <w:rPr>
          <w:rFonts w:ascii="Arial" w:eastAsia="Times New Roman" w:hAnsi="Arial" w:cs="Arial"/>
          <w:b/>
          <w:bCs/>
          <w:color w:val="333333"/>
          <w:sz w:val="24"/>
          <w:szCs w:val="24"/>
          <w:shd w:val="clear" w:color="auto" w:fill="FFFFFF"/>
          <w:lang w:eastAsia="es-AR"/>
        </w:rPr>
        <w:t xml:space="preserve">           TRIBUNAL FISCAL DE LA NACIÓN (COMPETENCIA ADUANERA)</w:t>
      </w:r>
    </w:p>
    <w:p w:rsidR="00472604" w:rsidRPr="00582BD1" w:rsidRDefault="00472604" w:rsidP="00472604">
      <w:pPr>
        <w:spacing w:before="278" w:after="0" w:line="240" w:lineRule="auto"/>
        <w:jc w:val="center"/>
        <w:rPr>
          <w:rFonts w:ascii="Arial" w:eastAsia="Times New Roman" w:hAnsi="Arial" w:cs="Arial"/>
          <w:sz w:val="24"/>
          <w:szCs w:val="24"/>
          <w:lang w:eastAsia="es-AR"/>
        </w:rPr>
      </w:pPr>
      <w:r w:rsidRPr="00582BD1">
        <w:rPr>
          <w:rFonts w:ascii="Arial" w:eastAsia="Times New Roman" w:hAnsi="Arial" w:cs="Arial"/>
          <w:b/>
          <w:bCs/>
          <w:color w:val="333333"/>
          <w:sz w:val="24"/>
          <w:szCs w:val="24"/>
          <w:shd w:val="clear" w:color="auto" w:fill="FFFFFF"/>
          <w:lang w:eastAsia="es-AR"/>
        </w:rPr>
        <w:t xml:space="preserve">       Relatores: Dr. Harry </w:t>
      </w:r>
      <w:proofErr w:type="spellStart"/>
      <w:r w:rsidRPr="00582BD1">
        <w:rPr>
          <w:rFonts w:ascii="Arial" w:eastAsia="Times New Roman" w:hAnsi="Arial" w:cs="Arial"/>
          <w:b/>
          <w:bCs/>
          <w:color w:val="333333"/>
          <w:sz w:val="24"/>
          <w:szCs w:val="24"/>
          <w:shd w:val="clear" w:color="auto" w:fill="FFFFFF"/>
          <w:lang w:eastAsia="es-AR"/>
        </w:rPr>
        <w:t>Schurig</w:t>
      </w:r>
      <w:proofErr w:type="spellEnd"/>
      <w:r w:rsidRPr="00582BD1">
        <w:rPr>
          <w:rFonts w:ascii="Arial" w:eastAsia="Times New Roman" w:hAnsi="Arial" w:cs="Arial"/>
          <w:b/>
          <w:bCs/>
          <w:color w:val="333333"/>
          <w:sz w:val="24"/>
          <w:szCs w:val="24"/>
          <w:shd w:val="clear" w:color="auto" w:fill="FFFFFF"/>
          <w:lang w:eastAsia="es-AR"/>
        </w:rPr>
        <w:t xml:space="preserve"> y Dr. Martín González </w:t>
      </w:r>
      <w:proofErr w:type="spellStart"/>
      <w:r w:rsidRPr="00582BD1">
        <w:rPr>
          <w:rFonts w:ascii="Arial" w:eastAsia="Times New Roman" w:hAnsi="Arial" w:cs="Arial"/>
          <w:b/>
          <w:bCs/>
          <w:color w:val="333333"/>
          <w:sz w:val="24"/>
          <w:szCs w:val="24"/>
          <w:shd w:val="clear" w:color="auto" w:fill="FFFFFF"/>
          <w:lang w:eastAsia="es-AR"/>
        </w:rPr>
        <w:t>Seoane</w:t>
      </w:r>
      <w:proofErr w:type="spellEnd"/>
    </w:p>
    <w:p w:rsidR="00472604" w:rsidRPr="00582BD1" w:rsidRDefault="00472604" w:rsidP="00472604">
      <w:pPr>
        <w:spacing w:before="278" w:after="0" w:line="240" w:lineRule="auto"/>
        <w:jc w:val="center"/>
        <w:rPr>
          <w:rFonts w:ascii="Arial" w:eastAsia="Times New Roman" w:hAnsi="Arial" w:cs="Arial"/>
          <w:sz w:val="24"/>
          <w:szCs w:val="24"/>
          <w:lang w:eastAsia="es-AR"/>
        </w:rPr>
      </w:pPr>
    </w:p>
    <w:p w:rsidR="00CD4093" w:rsidRPr="00582BD1" w:rsidRDefault="00472604" w:rsidP="00CD4093">
      <w:pPr>
        <w:pStyle w:val="NormalWeb"/>
        <w:shd w:val="clear" w:color="auto" w:fill="FFFFFF"/>
        <w:spacing w:before="0" w:beforeAutospacing="0" w:after="0" w:afterAutospacing="0" w:line="315" w:lineRule="atLeast"/>
        <w:rPr>
          <w:rFonts w:ascii="Arial" w:hAnsi="Arial" w:cs="Arial"/>
          <w:color w:val="333333"/>
        </w:rPr>
      </w:pPr>
      <w:r w:rsidRPr="00582BD1">
        <w:rPr>
          <w:rFonts w:ascii="Arial" w:hAnsi="Arial" w:cs="Arial"/>
          <w:b/>
          <w:color w:val="222222"/>
          <w:u w:val="single"/>
        </w:rPr>
        <w:t>AUTOS</w:t>
      </w:r>
      <w:r w:rsidRPr="00582BD1">
        <w:rPr>
          <w:rFonts w:ascii="Arial" w:hAnsi="Arial" w:cs="Arial"/>
          <w:b/>
          <w:color w:val="222222"/>
        </w:rPr>
        <w:t xml:space="preserve">: </w:t>
      </w:r>
      <w:r w:rsidR="00CD4093" w:rsidRPr="00582BD1">
        <w:rPr>
          <w:rFonts w:ascii="Arial" w:hAnsi="Arial" w:cs="Arial"/>
          <w:b/>
          <w:bCs/>
          <w:color w:val="333333"/>
        </w:rPr>
        <w:t>“ASEGURADORA DE CAUCIONES  c/ DIRECCION GENERAL DE ADUA</w:t>
      </w:r>
      <w:r w:rsidR="00582BD1">
        <w:rPr>
          <w:rFonts w:ascii="Arial" w:hAnsi="Arial" w:cs="Arial"/>
          <w:b/>
          <w:bCs/>
          <w:color w:val="333333"/>
        </w:rPr>
        <w:t xml:space="preserve">NA  s/ RECURSO DE APELACIÓN", TFN, </w:t>
      </w:r>
      <w:proofErr w:type="spellStart"/>
      <w:r w:rsidR="00582BD1">
        <w:rPr>
          <w:rFonts w:ascii="Arial" w:hAnsi="Arial" w:cs="Arial"/>
          <w:b/>
          <w:bCs/>
          <w:color w:val="333333"/>
        </w:rPr>
        <w:t>E</w:t>
      </w:r>
      <w:r w:rsidR="00CD4093" w:rsidRPr="00582BD1">
        <w:rPr>
          <w:rFonts w:ascii="Arial" w:hAnsi="Arial" w:cs="Arial"/>
          <w:b/>
          <w:bCs/>
          <w:color w:val="333333"/>
        </w:rPr>
        <w:t>xpte</w:t>
      </w:r>
      <w:proofErr w:type="spellEnd"/>
      <w:r w:rsidR="00CD4093" w:rsidRPr="00582BD1">
        <w:rPr>
          <w:rFonts w:ascii="Arial" w:hAnsi="Arial" w:cs="Arial"/>
          <w:b/>
          <w:bCs/>
          <w:color w:val="333333"/>
        </w:rPr>
        <w:t>. 40113-A, SALA "F", 9/11/2022</w:t>
      </w:r>
      <w:r w:rsidR="00582BD1">
        <w:rPr>
          <w:rFonts w:ascii="Arial" w:hAnsi="Arial" w:cs="Arial"/>
          <w:b/>
          <w:bCs/>
          <w:color w:val="333333"/>
        </w:rPr>
        <w:t>.</w:t>
      </w:r>
    </w:p>
    <w:p w:rsidR="00CD4093" w:rsidRPr="00582BD1" w:rsidRDefault="00CD4093" w:rsidP="00CD4093">
      <w:pPr>
        <w:shd w:val="clear" w:color="auto" w:fill="FFFFFF"/>
        <w:spacing w:after="0" w:line="240" w:lineRule="auto"/>
        <w:rPr>
          <w:rFonts w:ascii="Arial" w:eastAsia="Times New Roman" w:hAnsi="Arial" w:cs="Arial"/>
          <w:color w:val="222222"/>
          <w:sz w:val="24"/>
          <w:szCs w:val="24"/>
          <w:lang w:val="es-ES" w:eastAsia="es-AR"/>
        </w:rPr>
      </w:pPr>
    </w:p>
    <w:p w:rsidR="00CD4093" w:rsidRPr="00582BD1" w:rsidRDefault="00582BD1" w:rsidP="00CD4093">
      <w:pPr>
        <w:shd w:val="clear" w:color="auto" w:fill="FFFFFF"/>
        <w:spacing w:after="0" w:line="240" w:lineRule="auto"/>
        <w:jc w:val="both"/>
        <w:rPr>
          <w:rFonts w:ascii="Arial" w:eastAsia="Times New Roman" w:hAnsi="Arial" w:cs="Arial"/>
          <w:color w:val="222222"/>
          <w:sz w:val="24"/>
          <w:szCs w:val="24"/>
          <w:lang w:eastAsia="es-AR"/>
        </w:rPr>
      </w:pPr>
      <w:r>
        <w:rPr>
          <w:rFonts w:ascii="Arial" w:eastAsia="Times New Roman" w:hAnsi="Arial" w:cs="Arial"/>
          <w:color w:val="222222"/>
          <w:sz w:val="24"/>
          <w:szCs w:val="24"/>
          <w:lang w:val="es-ES" w:eastAsia="es-AR"/>
        </w:rPr>
        <w:lastRenderedPageBreak/>
        <w:t>P</w:t>
      </w:r>
      <w:r w:rsidRPr="00582BD1">
        <w:rPr>
          <w:rFonts w:ascii="Arial" w:eastAsia="Times New Roman" w:hAnsi="Arial" w:cs="Arial"/>
          <w:color w:val="222222"/>
          <w:sz w:val="24"/>
          <w:szCs w:val="24"/>
          <w:lang w:val="es-ES" w:eastAsia="es-AR"/>
        </w:rPr>
        <w:t xml:space="preserve">rocedimiento </w:t>
      </w:r>
      <w:proofErr w:type="spellStart"/>
      <w:r w:rsidRPr="00582BD1">
        <w:rPr>
          <w:rFonts w:ascii="Arial" w:eastAsia="Times New Roman" w:hAnsi="Arial" w:cs="Arial"/>
          <w:color w:val="222222"/>
          <w:sz w:val="24"/>
          <w:szCs w:val="24"/>
          <w:lang w:val="es-ES" w:eastAsia="es-AR"/>
        </w:rPr>
        <w:t>infraccional</w:t>
      </w:r>
      <w:proofErr w:type="spellEnd"/>
      <w:r w:rsidRPr="00582BD1">
        <w:rPr>
          <w:rFonts w:ascii="Arial" w:eastAsia="Times New Roman" w:hAnsi="Arial" w:cs="Arial"/>
          <w:color w:val="222222"/>
          <w:sz w:val="24"/>
          <w:szCs w:val="24"/>
          <w:lang w:val="es-ES" w:eastAsia="es-AR"/>
        </w:rPr>
        <w:t xml:space="preserve">. </w:t>
      </w:r>
      <w:r>
        <w:rPr>
          <w:rFonts w:ascii="Arial" w:eastAsia="Times New Roman" w:hAnsi="Arial" w:cs="Arial"/>
          <w:color w:val="222222"/>
          <w:sz w:val="24"/>
          <w:szCs w:val="24"/>
          <w:lang w:val="es-ES" w:eastAsia="es-AR"/>
        </w:rPr>
        <w:t>I</w:t>
      </w:r>
      <w:r w:rsidRPr="00582BD1">
        <w:rPr>
          <w:rFonts w:ascii="Arial" w:eastAsia="Times New Roman" w:hAnsi="Arial" w:cs="Arial"/>
          <w:color w:val="222222"/>
          <w:sz w:val="24"/>
          <w:szCs w:val="24"/>
          <w:lang w:val="es-ES" w:eastAsia="es-AR"/>
        </w:rPr>
        <w:t>mportación temporaria archivo de forma temporal del sumario  -apli</w:t>
      </w:r>
      <w:r>
        <w:rPr>
          <w:rFonts w:ascii="Arial" w:eastAsia="Times New Roman" w:hAnsi="Arial" w:cs="Arial"/>
          <w:color w:val="222222"/>
          <w:sz w:val="24"/>
          <w:szCs w:val="24"/>
          <w:lang w:val="es-ES" w:eastAsia="es-AR"/>
        </w:rPr>
        <w:t>cación del instructivo general N</w:t>
      </w:r>
      <w:r w:rsidRPr="00582BD1">
        <w:rPr>
          <w:rFonts w:ascii="Arial" w:eastAsia="Times New Roman" w:hAnsi="Arial" w:cs="Arial"/>
          <w:color w:val="222222"/>
          <w:sz w:val="24"/>
          <w:szCs w:val="24"/>
          <w:lang w:val="es-ES" w:eastAsia="es-AR"/>
        </w:rPr>
        <w:t>° 9/2017 (</w:t>
      </w:r>
      <w:r>
        <w:rPr>
          <w:rFonts w:ascii="Arial" w:eastAsia="Times New Roman" w:hAnsi="Arial" w:cs="Arial"/>
          <w:color w:val="222222"/>
          <w:sz w:val="24"/>
          <w:szCs w:val="24"/>
          <w:lang w:val="es-ES" w:eastAsia="es-AR"/>
        </w:rPr>
        <w:t>DGA). N</w:t>
      </w:r>
      <w:r w:rsidRPr="00582BD1">
        <w:rPr>
          <w:rFonts w:ascii="Arial" w:eastAsia="Times New Roman" w:hAnsi="Arial" w:cs="Arial"/>
          <w:color w:val="222222"/>
          <w:sz w:val="24"/>
          <w:szCs w:val="24"/>
          <w:lang w:val="es-ES" w:eastAsia="es-AR"/>
        </w:rPr>
        <w:t>ulidad. Prescripción</w:t>
      </w:r>
      <w:r>
        <w:rPr>
          <w:rFonts w:ascii="Arial" w:eastAsia="Times New Roman" w:hAnsi="Arial" w:cs="Arial"/>
          <w:color w:val="222222"/>
          <w:sz w:val="24"/>
          <w:szCs w:val="24"/>
          <w:lang w:val="es-ES" w:eastAsia="es-AR"/>
        </w:rPr>
        <w:t>.</w:t>
      </w:r>
    </w:p>
    <w:p w:rsidR="00121302" w:rsidRPr="00582BD1" w:rsidRDefault="00121302" w:rsidP="00CD4093">
      <w:pPr>
        <w:shd w:val="clear" w:color="auto" w:fill="FFFFFF"/>
        <w:spacing w:after="0" w:line="240" w:lineRule="auto"/>
        <w:jc w:val="both"/>
        <w:rPr>
          <w:rFonts w:ascii="Arial" w:eastAsia="Times New Roman" w:hAnsi="Arial" w:cs="Arial"/>
          <w:sz w:val="24"/>
          <w:szCs w:val="24"/>
          <w:lang w:eastAsia="es-AR"/>
        </w:rPr>
      </w:pPr>
    </w:p>
    <w:p w:rsidR="00121302" w:rsidRPr="00582BD1" w:rsidRDefault="00121302" w:rsidP="00121302">
      <w:pPr>
        <w:shd w:val="clear" w:color="auto" w:fill="FFFFFF"/>
        <w:spacing w:before="100" w:beforeAutospacing="1" w:after="0" w:line="240" w:lineRule="auto"/>
        <w:rPr>
          <w:rFonts w:ascii="Arial" w:eastAsia="Times New Roman" w:hAnsi="Arial" w:cs="Arial"/>
          <w:sz w:val="24"/>
          <w:szCs w:val="24"/>
          <w:lang w:eastAsia="es-AR"/>
        </w:rPr>
      </w:pPr>
      <w:r w:rsidRPr="00582BD1">
        <w:rPr>
          <w:rFonts w:ascii="Arial" w:eastAsia="Times New Roman" w:hAnsi="Arial" w:cs="Arial"/>
          <w:color w:val="333333"/>
          <w:sz w:val="24"/>
          <w:szCs w:val="24"/>
          <w:shd w:val="clear" w:color="auto" w:fill="FFFFFF"/>
          <w:lang w:eastAsia="es-AR"/>
        </w:rPr>
        <w:t>    </w:t>
      </w:r>
      <w:r w:rsidRPr="00582BD1">
        <w:rPr>
          <w:rFonts w:ascii="Arial" w:eastAsia="Times New Roman" w:hAnsi="Arial" w:cs="Arial"/>
          <w:b/>
          <w:bCs/>
          <w:color w:val="333333"/>
          <w:sz w:val="24"/>
          <w:szCs w:val="24"/>
          <w:shd w:val="clear" w:color="auto" w:fill="FFFFFF"/>
          <w:lang w:eastAsia="es-AR"/>
        </w:rPr>
        <w:t>TRIBUNAL FISCAL DE APELACIÓN DE LA PROVINCIA DE TUCUMÁN</w:t>
      </w:r>
      <w:r w:rsidRPr="00582BD1">
        <w:rPr>
          <w:rFonts w:ascii="Arial" w:eastAsia="Times New Roman" w:hAnsi="Arial" w:cs="Arial"/>
          <w:color w:val="333333"/>
          <w:sz w:val="24"/>
          <w:szCs w:val="24"/>
          <w:shd w:val="clear" w:color="auto" w:fill="FFFFFF"/>
          <w:lang w:eastAsia="es-AR"/>
        </w:rPr>
        <w:t>    </w:t>
      </w:r>
    </w:p>
    <w:p w:rsidR="00121302" w:rsidRPr="00582BD1" w:rsidRDefault="00121302" w:rsidP="00121302">
      <w:pPr>
        <w:shd w:val="clear" w:color="auto" w:fill="FFFFFF"/>
        <w:spacing w:before="100" w:beforeAutospacing="1" w:after="0" w:line="240" w:lineRule="auto"/>
        <w:rPr>
          <w:rFonts w:ascii="Arial" w:eastAsia="Times New Roman" w:hAnsi="Arial" w:cs="Arial"/>
          <w:sz w:val="24"/>
          <w:szCs w:val="24"/>
          <w:lang w:eastAsia="es-AR"/>
        </w:rPr>
      </w:pPr>
      <w:r w:rsidRPr="00582BD1">
        <w:rPr>
          <w:rFonts w:ascii="Arial" w:eastAsia="Times New Roman" w:hAnsi="Arial" w:cs="Arial"/>
          <w:color w:val="333333"/>
          <w:sz w:val="24"/>
          <w:szCs w:val="24"/>
          <w:shd w:val="clear" w:color="auto" w:fill="FFFFFF"/>
          <w:lang w:eastAsia="es-AR"/>
        </w:rPr>
        <w:t>                                           </w:t>
      </w:r>
      <w:r w:rsidRPr="00582BD1">
        <w:rPr>
          <w:rFonts w:ascii="Arial" w:eastAsia="Times New Roman" w:hAnsi="Arial" w:cs="Arial"/>
          <w:b/>
          <w:bCs/>
          <w:color w:val="333333"/>
          <w:sz w:val="24"/>
          <w:szCs w:val="24"/>
          <w:shd w:val="clear" w:color="auto" w:fill="FFFFFF"/>
          <w:lang w:eastAsia="es-AR"/>
        </w:rPr>
        <w:t xml:space="preserve">Relator: Dr. Gabriel </w:t>
      </w:r>
      <w:proofErr w:type="spellStart"/>
      <w:r w:rsidRPr="00582BD1">
        <w:rPr>
          <w:rFonts w:ascii="Arial" w:eastAsia="Times New Roman" w:hAnsi="Arial" w:cs="Arial"/>
          <w:b/>
          <w:bCs/>
          <w:color w:val="333333"/>
          <w:sz w:val="24"/>
          <w:szCs w:val="24"/>
          <w:shd w:val="clear" w:color="auto" w:fill="FFFFFF"/>
          <w:lang w:eastAsia="es-AR"/>
        </w:rPr>
        <w:t>Ludueña</w:t>
      </w:r>
      <w:proofErr w:type="spellEnd"/>
    </w:p>
    <w:p w:rsidR="00CD4093" w:rsidRPr="00582BD1" w:rsidRDefault="00CD4093" w:rsidP="00CD4093">
      <w:pPr>
        <w:pStyle w:val="NormalWeb"/>
        <w:spacing w:before="0" w:beforeAutospacing="0" w:after="160" w:afterAutospacing="0"/>
        <w:jc w:val="both"/>
        <w:rPr>
          <w:rFonts w:ascii="Arial" w:hAnsi="Arial" w:cs="Arial"/>
          <w:b/>
          <w:bCs/>
          <w:color w:val="333333"/>
          <w:u w:val="single"/>
          <w:shd w:val="clear" w:color="auto" w:fill="FFFFFF"/>
        </w:rPr>
      </w:pPr>
    </w:p>
    <w:p w:rsidR="00582BD1" w:rsidRPr="00582BD1" w:rsidRDefault="00121302" w:rsidP="00582BD1">
      <w:pPr>
        <w:pStyle w:val="NormalWeb"/>
        <w:spacing w:before="0" w:beforeAutospacing="0" w:after="160" w:afterAutospacing="0"/>
        <w:rPr>
          <w:rFonts w:ascii="Arial" w:hAnsi="Arial" w:cs="Arial"/>
          <w:b/>
        </w:rPr>
      </w:pPr>
      <w:r w:rsidRPr="00582BD1">
        <w:rPr>
          <w:rFonts w:ascii="Arial" w:hAnsi="Arial" w:cs="Arial"/>
          <w:b/>
          <w:bCs/>
          <w:color w:val="333333"/>
          <w:u w:val="single"/>
          <w:shd w:val="clear" w:color="auto" w:fill="FFFFFF"/>
        </w:rPr>
        <w:t>AUTOS:</w:t>
      </w:r>
      <w:r w:rsidRPr="00582BD1">
        <w:rPr>
          <w:rFonts w:ascii="Arial" w:hAnsi="Arial" w:cs="Arial"/>
          <w:b/>
          <w:bCs/>
          <w:color w:val="333333"/>
          <w:shd w:val="clear" w:color="auto" w:fill="FFFFFF"/>
        </w:rPr>
        <w:t xml:space="preserve"> </w:t>
      </w:r>
      <w:r w:rsidR="00582BD1" w:rsidRPr="00582BD1">
        <w:rPr>
          <w:rFonts w:ascii="Arial" w:hAnsi="Arial" w:cs="Arial"/>
          <w:b/>
          <w:color w:val="000000"/>
        </w:rPr>
        <w:t>PALAZZO PROSPERO ANGEL S/ REC APELACION</w:t>
      </w:r>
      <w:r w:rsidR="00582BD1" w:rsidRPr="00582BD1">
        <w:rPr>
          <w:rFonts w:ascii="Arial" w:hAnsi="Arial" w:cs="Arial"/>
          <w:b/>
          <w:i/>
          <w:iCs/>
          <w:color w:val="000000"/>
        </w:rPr>
        <w:t>, TRIBUNAL FISCAL DE APELACIÓN DE TUCUMÁN, 3/11/2021 (N 400/2021). </w:t>
      </w:r>
    </w:p>
    <w:p w:rsidR="00582BD1" w:rsidRPr="00582BD1" w:rsidRDefault="00582BD1" w:rsidP="00582BD1">
      <w:pPr>
        <w:spacing w:line="240" w:lineRule="auto"/>
        <w:jc w:val="both"/>
        <w:rPr>
          <w:rFonts w:ascii="Arial" w:eastAsia="Times New Roman" w:hAnsi="Arial" w:cs="Arial"/>
          <w:sz w:val="24"/>
          <w:szCs w:val="24"/>
          <w:lang w:eastAsia="es-AR"/>
        </w:rPr>
      </w:pPr>
      <w:r w:rsidRPr="00582BD1">
        <w:rPr>
          <w:rFonts w:ascii="Arial" w:eastAsia="Times New Roman" w:hAnsi="Arial" w:cs="Arial"/>
          <w:color w:val="000000"/>
          <w:sz w:val="24"/>
          <w:szCs w:val="24"/>
          <w:lang w:eastAsia="es-AR"/>
        </w:rPr>
        <w:t xml:space="preserve">Recurso de apelación contra Resolución de la DGR que determinó un ajuste en razón de haber omitido actuar como agente de retención. Alegación de nulidades por parte del apelante. Etapa probatoria amplia en busca de la verdad material. Análisis de la carga de la prueba y de las operaciones concertadas oportunamente (proveedor por proveedor). No se aplica el precedente </w:t>
      </w:r>
      <w:proofErr w:type="spellStart"/>
      <w:r w:rsidRPr="00582BD1">
        <w:rPr>
          <w:rFonts w:ascii="Arial" w:eastAsia="Times New Roman" w:hAnsi="Arial" w:cs="Arial"/>
          <w:color w:val="000000"/>
          <w:sz w:val="24"/>
          <w:szCs w:val="24"/>
          <w:lang w:eastAsia="es-AR"/>
        </w:rPr>
        <w:t>Bercovich</w:t>
      </w:r>
      <w:proofErr w:type="spellEnd"/>
      <w:r w:rsidRPr="00582BD1">
        <w:rPr>
          <w:rFonts w:ascii="Arial" w:eastAsia="Times New Roman" w:hAnsi="Arial" w:cs="Arial"/>
          <w:color w:val="000000"/>
          <w:sz w:val="24"/>
          <w:szCs w:val="24"/>
          <w:lang w:eastAsia="es-AR"/>
        </w:rPr>
        <w:t xml:space="preserve"> (para agentes de percepción). Se hace lugar parcialmente al recurso del contribuyente. </w:t>
      </w:r>
    </w:p>
    <w:p w:rsidR="00CD4093" w:rsidRPr="00582BD1" w:rsidRDefault="00CD4093" w:rsidP="00472604">
      <w:pPr>
        <w:spacing w:before="100" w:beforeAutospacing="1" w:after="0" w:line="240" w:lineRule="auto"/>
        <w:rPr>
          <w:rFonts w:ascii="Arial" w:eastAsia="Times New Roman" w:hAnsi="Arial" w:cs="Arial"/>
          <w:b/>
          <w:bCs/>
          <w:color w:val="333333"/>
          <w:sz w:val="24"/>
          <w:szCs w:val="24"/>
          <w:shd w:val="clear" w:color="auto" w:fill="FFFFFF"/>
          <w:lang w:eastAsia="es-AR"/>
        </w:rPr>
      </w:pPr>
    </w:p>
    <w:p w:rsidR="00121302" w:rsidRPr="00582BD1" w:rsidRDefault="00121302" w:rsidP="00CD4093">
      <w:pPr>
        <w:spacing w:before="100" w:beforeAutospacing="1" w:after="0" w:line="240" w:lineRule="auto"/>
        <w:jc w:val="center"/>
        <w:rPr>
          <w:rFonts w:ascii="Arial" w:eastAsia="Times New Roman" w:hAnsi="Arial" w:cs="Arial"/>
          <w:sz w:val="24"/>
          <w:szCs w:val="24"/>
          <w:lang w:eastAsia="es-AR"/>
        </w:rPr>
      </w:pPr>
      <w:r w:rsidRPr="00582BD1">
        <w:rPr>
          <w:rFonts w:ascii="Arial" w:eastAsia="Times New Roman" w:hAnsi="Arial" w:cs="Arial"/>
          <w:b/>
          <w:bCs/>
          <w:color w:val="333333"/>
          <w:sz w:val="24"/>
          <w:szCs w:val="24"/>
          <w:shd w:val="clear" w:color="auto" w:fill="FFFFFF"/>
          <w:lang w:eastAsia="es-AR"/>
        </w:rPr>
        <w:t>TRIBUNAL FISCAL DE APELACIÓN DE LA PROVINCIA DE BUENOS AIRES</w:t>
      </w:r>
    </w:p>
    <w:p w:rsidR="00121302" w:rsidRPr="00582BD1" w:rsidRDefault="00121302" w:rsidP="00121302">
      <w:pPr>
        <w:shd w:val="clear" w:color="auto" w:fill="FFFFFF"/>
        <w:spacing w:before="100" w:beforeAutospacing="1" w:after="0" w:line="240" w:lineRule="auto"/>
        <w:jc w:val="center"/>
        <w:rPr>
          <w:rFonts w:ascii="Arial" w:eastAsia="Times New Roman" w:hAnsi="Arial" w:cs="Arial"/>
          <w:sz w:val="24"/>
          <w:szCs w:val="24"/>
          <w:lang w:eastAsia="es-AR"/>
        </w:rPr>
      </w:pPr>
      <w:r w:rsidRPr="00582BD1">
        <w:rPr>
          <w:rFonts w:ascii="Arial" w:eastAsia="Times New Roman" w:hAnsi="Arial" w:cs="Arial"/>
          <w:b/>
          <w:bCs/>
          <w:color w:val="333333"/>
          <w:sz w:val="24"/>
          <w:szCs w:val="24"/>
          <w:shd w:val="clear" w:color="auto" w:fill="FFFFFF"/>
          <w:lang w:eastAsia="es-AR"/>
        </w:rPr>
        <w:t xml:space="preserve">Relator: Dr. Ezequiel </w:t>
      </w:r>
      <w:proofErr w:type="spellStart"/>
      <w:r w:rsidRPr="00582BD1">
        <w:rPr>
          <w:rFonts w:ascii="Arial" w:eastAsia="Times New Roman" w:hAnsi="Arial" w:cs="Arial"/>
          <w:b/>
          <w:bCs/>
          <w:color w:val="333333"/>
          <w:sz w:val="24"/>
          <w:szCs w:val="24"/>
          <w:shd w:val="clear" w:color="auto" w:fill="FFFFFF"/>
          <w:lang w:eastAsia="es-AR"/>
        </w:rPr>
        <w:t>Maltz</w:t>
      </w:r>
      <w:proofErr w:type="spellEnd"/>
    </w:p>
    <w:p w:rsidR="00121302" w:rsidRPr="00582BD1" w:rsidRDefault="00121302" w:rsidP="00121302">
      <w:pPr>
        <w:shd w:val="clear" w:color="auto" w:fill="FFFFFF"/>
        <w:spacing w:before="100" w:beforeAutospacing="1" w:after="0" w:line="240" w:lineRule="auto"/>
        <w:rPr>
          <w:rFonts w:ascii="Arial" w:eastAsia="Times New Roman" w:hAnsi="Arial" w:cs="Arial"/>
          <w:sz w:val="24"/>
          <w:szCs w:val="24"/>
          <w:lang w:eastAsia="es-AR"/>
        </w:rPr>
      </w:pPr>
    </w:p>
    <w:p w:rsidR="00CD4093" w:rsidRPr="00582BD1" w:rsidRDefault="00CD4093" w:rsidP="00CD4093">
      <w:pPr>
        <w:shd w:val="clear" w:color="auto" w:fill="FFFFFF"/>
        <w:spacing w:after="0" w:line="240" w:lineRule="auto"/>
        <w:jc w:val="both"/>
        <w:rPr>
          <w:rFonts w:ascii="Arial" w:eastAsia="Times New Roman" w:hAnsi="Arial" w:cs="Arial"/>
          <w:color w:val="000000"/>
          <w:sz w:val="24"/>
          <w:szCs w:val="24"/>
          <w:lang w:eastAsia="es-AR"/>
        </w:rPr>
      </w:pPr>
      <w:r w:rsidRPr="00582BD1">
        <w:rPr>
          <w:rFonts w:ascii="Arial" w:eastAsia="Times New Roman" w:hAnsi="Arial" w:cs="Arial"/>
          <w:b/>
          <w:bCs/>
          <w:color w:val="201F1E"/>
          <w:sz w:val="24"/>
          <w:szCs w:val="24"/>
          <w:u w:val="single"/>
          <w:shd w:val="clear" w:color="auto" w:fill="FFFFFF"/>
          <w:lang w:eastAsia="es-AR"/>
        </w:rPr>
        <w:t>AUTOS</w:t>
      </w:r>
      <w:r w:rsidRPr="00582BD1">
        <w:rPr>
          <w:rFonts w:ascii="Arial" w:eastAsia="Times New Roman" w:hAnsi="Arial" w:cs="Arial"/>
          <w:b/>
          <w:bCs/>
          <w:color w:val="201F1E"/>
          <w:sz w:val="24"/>
          <w:szCs w:val="24"/>
          <w:shd w:val="clear" w:color="auto" w:fill="FFFFFF"/>
          <w:lang w:eastAsia="es-AR"/>
        </w:rPr>
        <w:t>: "CERES AGROPECUARIA S.A. C/ ARBA S/ APELACION", Tribunal Fiscal de Apelación</w:t>
      </w:r>
      <w:r w:rsidR="00582BD1">
        <w:rPr>
          <w:rFonts w:ascii="Arial" w:eastAsia="Times New Roman" w:hAnsi="Arial" w:cs="Arial"/>
          <w:b/>
          <w:bCs/>
          <w:color w:val="201F1E"/>
          <w:sz w:val="24"/>
          <w:szCs w:val="24"/>
          <w:shd w:val="clear" w:color="auto" w:fill="FFFFFF"/>
          <w:lang w:eastAsia="es-AR"/>
        </w:rPr>
        <w:t>,</w:t>
      </w:r>
      <w:r w:rsidRPr="00582BD1">
        <w:rPr>
          <w:rFonts w:ascii="Arial" w:eastAsia="Times New Roman" w:hAnsi="Arial" w:cs="Arial"/>
          <w:b/>
          <w:bCs/>
          <w:color w:val="201F1E"/>
          <w:sz w:val="24"/>
          <w:szCs w:val="24"/>
          <w:shd w:val="clear" w:color="auto" w:fill="FFFFFF"/>
          <w:lang w:eastAsia="es-AR"/>
        </w:rPr>
        <w:t xml:space="preserve"> Sala II, 29/04/2022.  </w:t>
      </w:r>
    </w:p>
    <w:p w:rsidR="00CD4093" w:rsidRPr="00582BD1" w:rsidRDefault="00CD4093" w:rsidP="00CD4093">
      <w:pPr>
        <w:shd w:val="clear" w:color="auto" w:fill="FFFFFF"/>
        <w:spacing w:after="0" w:line="240" w:lineRule="auto"/>
        <w:jc w:val="both"/>
        <w:rPr>
          <w:rFonts w:ascii="Arial" w:eastAsia="Times New Roman" w:hAnsi="Arial" w:cs="Arial"/>
          <w:color w:val="000000"/>
          <w:sz w:val="24"/>
          <w:szCs w:val="24"/>
          <w:lang w:eastAsia="es-AR"/>
        </w:rPr>
      </w:pPr>
    </w:p>
    <w:p w:rsidR="00CD4093" w:rsidRPr="00582BD1" w:rsidRDefault="00CD4093" w:rsidP="00CD4093">
      <w:pPr>
        <w:shd w:val="clear" w:color="auto" w:fill="FFFFFF"/>
        <w:spacing w:after="0" w:line="240" w:lineRule="auto"/>
        <w:jc w:val="both"/>
        <w:rPr>
          <w:rFonts w:ascii="Arial" w:eastAsia="Times New Roman" w:hAnsi="Arial" w:cs="Arial"/>
          <w:color w:val="000000"/>
          <w:sz w:val="24"/>
          <w:szCs w:val="24"/>
          <w:lang w:eastAsia="es-AR"/>
        </w:rPr>
      </w:pPr>
      <w:r w:rsidRPr="00582BD1">
        <w:rPr>
          <w:rFonts w:ascii="Arial" w:eastAsia="Times New Roman" w:hAnsi="Arial" w:cs="Arial"/>
          <w:color w:val="201F1E"/>
          <w:sz w:val="24"/>
          <w:szCs w:val="24"/>
          <w:shd w:val="clear" w:color="auto" w:fill="FFFFFF"/>
          <w:lang w:eastAsia="es-AR"/>
        </w:rPr>
        <w:t>Impuesto sobre los Ingresos Brutos. Influencia de los saldos a favor del contribuyente en el ajuste practicado, la multa, y la extensión de responsabilidad solidaria.</w:t>
      </w:r>
    </w:p>
    <w:p w:rsidR="00CD4093" w:rsidRPr="00582BD1" w:rsidRDefault="00CD4093" w:rsidP="00CD4093">
      <w:pPr>
        <w:shd w:val="clear" w:color="auto" w:fill="FFFFFF"/>
        <w:spacing w:after="0" w:line="240" w:lineRule="auto"/>
        <w:rPr>
          <w:rFonts w:ascii="Arial" w:eastAsia="Times New Roman" w:hAnsi="Arial" w:cs="Arial"/>
          <w:color w:val="222222"/>
          <w:sz w:val="24"/>
          <w:szCs w:val="24"/>
          <w:lang w:eastAsia="es-AR"/>
        </w:rPr>
      </w:pPr>
    </w:p>
    <w:p w:rsidR="00121302" w:rsidRPr="00582BD1" w:rsidRDefault="00121302" w:rsidP="00121302">
      <w:pPr>
        <w:spacing w:before="100" w:beforeAutospacing="1" w:after="240" w:line="240" w:lineRule="auto"/>
        <w:rPr>
          <w:rFonts w:ascii="Arial" w:eastAsia="Times New Roman" w:hAnsi="Arial" w:cs="Arial"/>
          <w:sz w:val="24"/>
          <w:szCs w:val="24"/>
          <w:lang w:eastAsia="es-AR"/>
        </w:rPr>
      </w:pPr>
    </w:p>
    <w:p w:rsidR="00121302" w:rsidRPr="00582BD1" w:rsidRDefault="00121302" w:rsidP="00121302">
      <w:pPr>
        <w:spacing w:before="100" w:beforeAutospacing="1" w:after="198" w:line="240" w:lineRule="auto"/>
        <w:rPr>
          <w:rFonts w:ascii="Arial" w:eastAsia="Times New Roman" w:hAnsi="Arial" w:cs="Arial"/>
          <w:sz w:val="24"/>
          <w:szCs w:val="24"/>
          <w:lang w:eastAsia="es-AR"/>
        </w:rPr>
      </w:pPr>
      <w:r w:rsidRPr="00582BD1">
        <w:rPr>
          <w:rFonts w:ascii="Arial" w:eastAsia="Times New Roman" w:hAnsi="Arial" w:cs="Arial"/>
          <w:color w:val="333333"/>
          <w:sz w:val="24"/>
          <w:szCs w:val="24"/>
          <w:shd w:val="clear" w:color="auto" w:fill="FFFFFF"/>
          <w:lang w:eastAsia="es-AR"/>
        </w:rPr>
        <w:t>Les esperamos,</w:t>
      </w:r>
    </w:p>
    <w:p w:rsidR="00121302" w:rsidRPr="00582BD1" w:rsidRDefault="00121302" w:rsidP="006C4E86">
      <w:pPr>
        <w:spacing w:before="100" w:beforeAutospacing="1" w:after="198" w:line="240" w:lineRule="auto"/>
        <w:rPr>
          <w:rFonts w:ascii="Arial" w:eastAsia="Times New Roman" w:hAnsi="Arial" w:cs="Arial"/>
          <w:b/>
          <w:color w:val="222222"/>
          <w:sz w:val="24"/>
          <w:szCs w:val="24"/>
          <w:lang w:eastAsia="es-AR"/>
        </w:rPr>
      </w:pPr>
      <w:r w:rsidRPr="00582BD1">
        <w:rPr>
          <w:rFonts w:ascii="Arial" w:eastAsia="Times New Roman" w:hAnsi="Arial" w:cs="Arial"/>
          <w:color w:val="333333"/>
          <w:sz w:val="24"/>
          <w:szCs w:val="24"/>
          <w:shd w:val="clear" w:color="auto" w:fill="FFFFFF"/>
          <w:lang w:eastAsia="es-AR"/>
        </w:rPr>
        <w:t>PABLO GARBARINO – JULIANA PACCINI</w:t>
      </w:r>
    </w:p>
    <w:p w:rsidR="00B203EA" w:rsidRPr="00582BD1" w:rsidRDefault="00B203EA" w:rsidP="00121302">
      <w:pPr>
        <w:jc w:val="both"/>
        <w:rPr>
          <w:rFonts w:ascii="Arial" w:hAnsi="Arial" w:cs="Arial"/>
          <w:sz w:val="24"/>
          <w:szCs w:val="24"/>
        </w:rPr>
      </w:pPr>
    </w:p>
    <w:p w:rsidR="00121302" w:rsidRPr="00582BD1" w:rsidRDefault="00121302" w:rsidP="00121302">
      <w:pPr>
        <w:jc w:val="both"/>
        <w:rPr>
          <w:rFonts w:ascii="Arial" w:hAnsi="Arial" w:cs="Arial"/>
          <w:sz w:val="24"/>
          <w:szCs w:val="24"/>
        </w:rPr>
      </w:pPr>
    </w:p>
    <w:p w:rsidR="00121302" w:rsidRPr="00582BD1" w:rsidRDefault="00121302" w:rsidP="00121302">
      <w:pPr>
        <w:pStyle w:val="NormalWeb"/>
        <w:spacing w:before="0" w:beforeAutospacing="0" w:after="160" w:afterAutospacing="0"/>
        <w:jc w:val="both"/>
        <w:rPr>
          <w:rFonts w:ascii="Arial" w:hAnsi="Arial" w:cs="Arial"/>
          <w:color w:val="000000"/>
        </w:rPr>
      </w:pPr>
    </w:p>
    <w:p w:rsidR="00121302" w:rsidRPr="00582BD1" w:rsidRDefault="00121302" w:rsidP="00121302">
      <w:pPr>
        <w:pStyle w:val="NormalWeb"/>
        <w:spacing w:before="0" w:beforeAutospacing="0" w:after="160" w:afterAutospacing="0"/>
        <w:jc w:val="both"/>
        <w:rPr>
          <w:rFonts w:ascii="Arial" w:hAnsi="Arial" w:cs="Arial"/>
        </w:rPr>
      </w:pPr>
    </w:p>
    <w:p w:rsidR="00121302" w:rsidRPr="00582BD1" w:rsidRDefault="00121302">
      <w:pPr>
        <w:rPr>
          <w:rFonts w:ascii="Arial" w:hAnsi="Arial" w:cs="Arial"/>
          <w:sz w:val="24"/>
          <w:szCs w:val="24"/>
        </w:rPr>
      </w:pPr>
    </w:p>
    <w:sectPr w:rsidR="00121302" w:rsidRPr="00582BD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02"/>
    <w:rsid w:val="00121302"/>
    <w:rsid w:val="001B1F55"/>
    <w:rsid w:val="003520C5"/>
    <w:rsid w:val="00472604"/>
    <w:rsid w:val="00582BD1"/>
    <w:rsid w:val="006C4E86"/>
    <w:rsid w:val="00AC6682"/>
    <w:rsid w:val="00B203EA"/>
    <w:rsid w:val="00CD4093"/>
    <w:rsid w:val="00D7506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7AE7B9-9AFE-4F24-BB13-D8117ABF1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21302"/>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2901">
      <w:bodyDiv w:val="1"/>
      <w:marLeft w:val="0"/>
      <w:marRight w:val="0"/>
      <w:marTop w:val="0"/>
      <w:marBottom w:val="0"/>
      <w:divBdr>
        <w:top w:val="none" w:sz="0" w:space="0" w:color="auto"/>
        <w:left w:val="none" w:sz="0" w:space="0" w:color="auto"/>
        <w:bottom w:val="none" w:sz="0" w:space="0" w:color="auto"/>
        <w:right w:val="none" w:sz="0" w:space="0" w:color="auto"/>
      </w:divBdr>
      <w:divsChild>
        <w:div w:id="1979795630">
          <w:marLeft w:val="0"/>
          <w:marRight w:val="0"/>
          <w:marTop w:val="0"/>
          <w:marBottom w:val="0"/>
          <w:divBdr>
            <w:top w:val="none" w:sz="0" w:space="0" w:color="auto"/>
            <w:left w:val="none" w:sz="0" w:space="0" w:color="auto"/>
            <w:bottom w:val="none" w:sz="0" w:space="0" w:color="auto"/>
            <w:right w:val="none" w:sz="0" w:space="0" w:color="auto"/>
          </w:divBdr>
          <w:divsChild>
            <w:div w:id="2001345284">
              <w:marLeft w:val="0"/>
              <w:marRight w:val="0"/>
              <w:marTop w:val="0"/>
              <w:marBottom w:val="0"/>
              <w:divBdr>
                <w:top w:val="none" w:sz="0" w:space="0" w:color="auto"/>
                <w:left w:val="none" w:sz="0" w:space="0" w:color="auto"/>
                <w:bottom w:val="none" w:sz="0" w:space="0" w:color="auto"/>
                <w:right w:val="none" w:sz="0" w:space="0" w:color="auto"/>
              </w:divBdr>
              <w:divsChild>
                <w:div w:id="563373113">
                  <w:marLeft w:val="0"/>
                  <w:marRight w:val="0"/>
                  <w:marTop w:val="0"/>
                  <w:marBottom w:val="0"/>
                  <w:divBdr>
                    <w:top w:val="none" w:sz="0" w:space="0" w:color="auto"/>
                    <w:left w:val="none" w:sz="0" w:space="0" w:color="auto"/>
                    <w:bottom w:val="none" w:sz="0" w:space="0" w:color="auto"/>
                    <w:right w:val="none" w:sz="0" w:space="0" w:color="auto"/>
                  </w:divBdr>
                  <w:divsChild>
                    <w:div w:id="2078088141">
                      <w:marLeft w:val="0"/>
                      <w:marRight w:val="0"/>
                      <w:marTop w:val="0"/>
                      <w:marBottom w:val="0"/>
                      <w:divBdr>
                        <w:top w:val="none" w:sz="0" w:space="0" w:color="auto"/>
                        <w:left w:val="none" w:sz="0" w:space="0" w:color="auto"/>
                        <w:bottom w:val="none" w:sz="0" w:space="0" w:color="auto"/>
                        <w:right w:val="none" w:sz="0" w:space="0" w:color="auto"/>
                      </w:divBdr>
                      <w:divsChild>
                        <w:div w:id="212645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4560">
              <w:marLeft w:val="0"/>
              <w:marRight w:val="0"/>
              <w:marTop w:val="0"/>
              <w:marBottom w:val="0"/>
              <w:divBdr>
                <w:top w:val="none" w:sz="0" w:space="0" w:color="auto"/>
                <w:left w:val="none" w:sz="0" w:space="0" w:color="auto"/>
                <w:bottom w:val="none" w:sz="0" w:space="0" w:color="auto"/>
                <w:right w:val="none" w:sz="0" w:space="0" w:color="auto"/>
              </w:divBdr>
            </w:div>
          </w:divsChild>
        </w:div>
        <w:div w:id="1671254418">
          <w:marLeft w:val="0"/>
          <w:marRight w:val="0"/>
          <w:marTop w:val="0"/>
          <w:marBottom w:val="0"/>
          <w:divBdr>
            <w:top w:val="none" w:sz="0" w:space="0" w:color="auto"/>
            <w:left w:val="none" w:sz="0" w:space="0" w:color="auto"/>
            <w:bottom w:val="none" w:sz="0" w:space="0" w:color="auto"/>
            <w:right w:val="none" w:sz="0" w:space="0" w:color="auto"/>
          </w:divBdr>
        </w:div>
      </w:divsChild>
    </w:div>
    <w:div w:id="64184050">
      <w:bodyDiv w:val="1"/>
      <w:marLeft w:val="0"/>
      <w:marRight w:val="0"/>
      <w:marTop w:val="0"/>
      <w:marBottom w:val="0"/>
      <w:divBdr>
        <w:top w:val="none" w:sz="0" w:space="0" w:color="auto"/>
        <w:left w:val="none" w:sz="0" w:space="0" w:color="auto"/>
        <w:bottom w:val="none" w:sz="0" w:space="0" w:color="auto"/>
        <w:right w:val="none" w:sz="0" w:space="0" w:color="auto"/>
      </w:divBdr>
      <w:divsChild>
        <w:div w:id="1813403659">
          <w:marLeft w:val="0"/>
          <w:marRight w:val="0"/>
          <w:marTop w:val="0"/>
          <w:marBottom w:val="0"/>
          <w:divBdr>
            <w:top w:val="none" w:sz="0" w:space="0" w:color="auto"/>
            <w:left w:val="none" w:sz="0" w:space="0" w:color="auto"/>
            <w:bottom w:val="none" w:sz="0" w:space="0" w:color="auto"/>
            <w:right w:val="none" w:sz="0" w:space="0" w:color="auto"/>
          </w:divBdr>
          <w:divsChild>
            <w:div w:id="1473057819">
              <w:marLeft w:val="0"/>
              <w:marRight w:val="0"/>
              <w:marTop w:val="0"/>
              <w:marBottom w:val="0"/>
              <w:divBdr>
                <w:top w:val="none" w:sz="0" w:space="0" w:color="auto"/>
                <w:left w:val="none" w:sz="0" w:space="0" w:color="auto"/>
                <w:bottom w:val="none" w:sz="0" w:space="0" w:color="auto"/>
                <w:right w:val="none" w:sz="0" w:space="0" w:color="auto"/>
              </w:divBdr>
            </w:div>
          </w:divsChild>
        </w:div>
        <w:div w:id="967274467">
          <w:marLeft w:val="0"/>
          <w:marRight w:val="0"/>
          <w:marTop w:val="0"/>
          <w:marBottom w:val="0"/>
          <w:divBdr>
            <w:top w:val="none" w:sz="0" w:space="0" w:color="auto"/>
            <w:left w:val="none" w:sz="0" w:space="0" w:color="auto"/>
            <w:bottom w:val="none" w:sz="0" w:space="0" w:color="auto"/>
            <w:right w:val="none" w:sz="0" w:space="0" w:color="auto"/>
          </w:divBdr>
        </w:div>
      </w:divsChild>
    </w:div>
    <w:div w:id="664088536">
      <w:bodyDiv w:val="1"/>
      <w:marLeft w:val="0"/>
      <w:marRight w:val="0"/>
      <w:marTop w:val="0"/>
      <w:marBottom w:val="0"/>
      <w:divBdr>
        <w:top w:val="none" w:sz="0" w:space="0" w:color="auto"/>
        <w:left w:val="none" w:sz="0" w:space="0" w:color="auto"/>
        <w:bottom w:val="none" w:sz="0" w:space="0" w:color="auto"/>
        <w:right w:val="none" w:sz="0" w:space="0" w:color="auto"/>
      </w:divBdr>
      <w:divsChild>
        <w:div w:id="99372969">
          <w:marLeft w:val="0"/>
          <w:marRight w:val="0"/>
          <w:marTop w:val="0"/>
          <w:marBottom w:val="0"/>
          <w:divBdr>
            <w:top w:val="none" w:sz="0" w:space="0" w:color="auto"/>
            <w:left w:val="none" w:sz="0" w:space="0" w:color="auto"/>
            <w:bottom w:val="none" w:sz="0" w:space="0" w:color="auto"/>
            <w:right w:val="none" w:sz="0" w:space="0" w:color="auto"/>
          </w:divBdr>
        </w:div>
      </w:divsChild>
    </w:div>
    <w:div w:id="894392426">
      <w:bodyDiv w:val="1"/>
      <w:marLeft w:val="0"/>
      <w:marRight w:val="0"/>
      <w:marTop w:val="0"/>
      <w:marBottom w:val="0"/>
      <w:divBdr>
        <w:top w:val="none" w:sz="0" w:space="0" w:color="auto"/>
        <w:left w:val="none" w:sz="0" w:space="0" w:color="auto"/>
        <w:bottom w:val="none" w:sz="0" w:space="0" w:color="auto"/>
        <w:right w:val="none" w:sz="0" w:space="0" w:color="auto"/>
      </w:divBdr>
      <w:divsChild>
        <w:div w:id="631601048">
          <w:marLeft w:val="0"/>
          <w:marRight w:val="0"/>
          <w:marTop w:val="0"/>
          <w:marBottom w:val="0"/>
          <w:divBdr>
            <w:top w:val="none" w:sz="0" w:space="0" w:color="auto"/>
            <w:left w:val="none" w:sz="0" w:space="0" w:color="auto"/>
            <w:bottom w:val="none" w:sz="0" w:space="0" w:color="auto"/>
            <w:right w:val="none" w:sz="0" w:space="0" w:color="auto"/>
          </w:divBdr>
        </w:div>
        <w:div w:id="489953103">
          <w:marLeft w:val="0"/>
          <w:marRight w:val="0"/>
          <w:marTop w:val="0"/>
          <w:marBottom w:val="0"/>
          <w:divBdr>
            <w:top w:val="none" w:sz="0" w:space="0" w:color="auto"/>
            <w:left w:val="none" w:sz="0" w:space="0" w:color="auto"/>
            <w:bottom w:val="none" w:sz="0" w:space="0" w:color="auto"/>
            <w:right w:val="none" w:sz="0" w:space="0" w:color="auto"/>
          </w:divBdr>
        </w:div>
      </w:divsChild>
    </w:div>
    <w:div w:id="1279793808">
      <w:bodyDiv w:val="1"/>
      <w:marLeft w:val="0"/>
      <w:marRight w:val="0"/>
      <w:marTop w:val="0"/>
      <w:marBottom w:val="0"/>
      <w:divBdr>
        <w:top w:val="none" w:sz="0" w:space="0" w:color="auto"/>
        <w:left w:val="none" w:sz="0" w:space="0" w:color="auto"/>
        <w:bottom w:val="none" w:sz="0" w:space="0" w:color="auto"/>
        <w:right w:val="none" w:sz="0" w:space="0" w:color="auto"/>
      </w:divBdr>
    </w:div>
    <w:div w:id="1326325158">
      <w:bodyDiv w:val="1"/>
      <w:marLeft w:val="0"/>
      <w:marRight w:val="0"/>
      <w:marTop w:val="0"/>
      <w:marBottom w:val="0"/>
      <w:divBdr>
        <w:top w:val="none" w:sz="0" w:space="0" w:color="auto"/>
        <w:left w:val="none" w:sz="0" w:space="0" w:color="auto"/>
        <w:bottom w:val="none" w:sz="0" w:space="0" w:color="auto"/>
        <w:right w:val="none" w:sz="0" w:space="0" w:color="auto"/>
      </w:divBdr>
      <w:divsChild>
        <w:div w:id="1135832314">
          <w:marLeft w:val="0"/>
          <w:marRight w:val="0"/>
          <w:marTop w:val="0"/>
          <w:marBottom w:val="0"/>
          <w:divBdr>
            <w:top w:val="none" w:sz="0" w:space="0" w:color="auto"/>
            <w:left w:val="none" w:sz="0" w:space="0" w:color="auto"/>
            <w:bottom w:val="none" w:sz="0" w:space="0" w:color="auto"/>
            <w:right w:val="none" w:sz="0" w:space="0" w:color="auto"/>
          </w:divBdr>
        </w:div>
        <w:div w:id="1451781026">
          <w:marLeft w:val="0"/>
          <w:marRight w:val="0"/>
          <w:marTop w:val="0"/>
          <w:marBottom w:val="0"/>
          <w:divBdr>
            <w:top w:val="none" w:sz="0" w:space="0" w:color="auto"/>
            <w:left w:val="none" w:sz="0" w:space="0" w:color="auto"/>
            <w:bottom w:val="none" w:sz="0" w:space="0" w:color="auto"/>
            <w:right w:val="none" w:sz="0" w:space="0" w:color="auto"/>
          </w:divBdr>
        </w:div>
      </w:divsChild>
    </w:div>
    <w:div w:id="1921018345">
      <w:bodyDiv w:val="1"/>
      <w:marLeft w:val="0"/>
      <w:marRight w:val="0"/>
      <w:marTop w:val="0"/>
      <w:marBottom w:val="0"/>
      <w:divBdr>
        <w:top w:val="none" w:sz="0" w:space="0" w:color="auto"/>
        <w:left w:val="none" w:sz="0" w:space="0" w:color="auto"/>
        <w:bottom w:val="none" w:sz="0" w:space="0" w:color="auto"/>
        <w:right w:val="none" w:sz="0" w:space="0" w:color="auto"/>
      </w:divBdr>
    </w:div>
    <w:div w:id="203182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422</Words>
  <Characters>2324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Cuenta Microsoft</dc:creator>
  <cp:keywords/>
  <dc:description/>
  <cp:lastModifiedBy>Alejandro</cp:lastModifiedBy>
  <cp:revision>6</cp:revision>
  <dcterms:created xsi:type="dcterms:W3CDTF">2022-11-11T22:26:00Z</dcterms:created>
  <dcterms:modified xsi:type="dcterms:W3CDTF">2022-11-12T20:54:00Z</dcterms:modified>
</cp:coreProperties>
</file>